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2024-10-16</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browning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49" w:name="material-methods"/>
    <w:p>
      <w:pPr>
        <w:pStyle w:val="Heading1"/>
      </w:pPr>
      <w:r>
        <w:t xml:space="preserve">2. Material &amp; Methods</w:t>
      </w:r>
    </w:p>
    <w:bookmarkStart w:id="24" w:name="heatwaves-detection-and-characterisation"/>
    <w:p>
      <w:pPr>
        <w:pStyle w:val="Heading2"/>
      </w:pPr>
      <w:r>
        <w:t xml:space="preserve">2.1 Heatwaves detection and characterisation</w:t>
      </w:r>
    </w:p>
    <w:bookmarkStart w:id="22" w:name="air-temperature"/>
    <w:p>
      <w:pPr>
        <w:pStyle w:val="Heading3"/>
      </w:pPr>
      <w:r>
        <w:t xml:space="preserve">2.1.1 Air temperature</w:t>
      </w:r>
    </w:p>
    <w:p>
      <w:pPr>
        <w:pStyle w:val="FirstParagraph"/>
      </w:pPr>
      <w:r>
        <w:t xml:space="preserve">Since January 1, 2024, Meteo France weather data has been freely and openly accessible. Hourly air temperature data (°C) for the French coast of the Atlantic and the Channel has been downloaded using a</w:t>
      </w:r>
      <w:r>
        <w:t xml:space="preserve"> </w:t>
      </w:r>
      <w:hyperlink r:id="rId21">
        <w:r>
          <w:rPr>
            <w:rStyle w:val="Hyperlink"/>
          </w:rPr>
          <w:t xml:space="preserve">custom script</w:t>
        </w:r>
      </w:hyperlink>
      <w:r>
        <w:t xml:space="preserve">, as no API has been developed for downloading this data at the date of this study. Weather stations located within 10 kilometers of the coastline were considered, but only those with a minimum of 30 years of data were included to ensure accurate climatology reconstruction. Among the 156 weather stations comprised within the 10km of coastline, only 36 had enough data to reconstruct the climatology. Hourly data has been aggregated to daily mean temperatures at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five consecutive days. The severity of each event has been assessed using the methodology proposed by</w:t>
      </w:r>
      <w:r>
        <w:t xml:space="preserve"> </w:t>
      </w:r>
      <w:r>
        <w:t xml:space="preserve">Hobday et al. (2018)</w:t>
      </w:r>
      <w:r>
        <w:t xml:space="preserve">.</w:t>
      </w:r>
    </w:p>
    <w:bookmarkEnd w:id="22"/>
    <w:bookmarkStart w:id="23" w:name="water-temperature"/>
    <w:p>
      <w:pPr>
        <w:pStyle w:val="Heading3"/>
      </w:pPr>
      <w:r>
        <w:t xml:space="preserve">2.1.2 Water temperature</w:t>
      </w:r>
    </w:p>
    <w:p>
      <w:pPr>
        <w:pStyle w:val="FirstParagraph"/>
      </w:pPr>
      <w:r>
        <w:t xml:space="preserve">not done yet !</w:t>
      </w:r>
    </w:p>
    <w:bookmarkEnd w:id="23"/>
    <w:bookmarkEnd w:id="24"/>
    <w:bookmarkStart w:id="48" w:name="experiment"/>
    <w:p>
      <w:pPr>
        <w:pStyle w:val="Heading2"/>
      </w:pPr>
      <w:r>
        <w:t xml:space="preserve">2.2 Experiment</w:t>
      </w:r>
    </w:p>
    <w:bookmarkStart w:id="25"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 Zostera noltei)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25"/>
    <w:bookmarkStart w:id="37" w:name="experimental-design"/>
    <w:p>
      <w:pPr>
        <w:pStyle w:val="Heading3"/>
      </w:pPr>
      <w:r>
        <w:t xml:space="preserve">2.2.2 Experimental design</w:t>
      </w:r>
    </w:p>
    <w:bookmarkStart w:id="30" w:name="cell-fig-design"/>
    <w:tbl>
      <w:tblPr>
        <w:tblStyle w:val="Table"/>
        <w:tblW w:type="pct" w:w="5000"/>
        <w:tblLayout w:type="fixed"/>
        <w:tblLook w:firstRow="0" w:lastRow="0" w:firstColumn="0" w:lastColumn="0" w:noHBand="0" w:noVBand="0" w:val="0000"/>
      </w:tblPr>
      <w:tblGrid>
        <w:gridCol w:w="7920"/>
      </w:tblGrid>
      <w:tr>
        <w:tc>
          <w:tcPr/>
          <w:bookmarkStart w:id="29" w:name="fig-design"/>
          <w:p>
            <w:pPr>
              <w:pStyle w:val="Compact"/>
              <w:jc w:val="center"/>
            </w:pPr>
            <w:r>
              <w:drawing>
                <wp:inline>
                  <wp:extent cx="2769521" cy="2723744"/>
                  <wp:effectExtent b="0" l="0" r="0" t="0"/>
                  <wp:docPr descr="" title="" id="27" name="Picture"/>
                  <a:graphic>
                    <a:graphicData uri="http://schemas.openxmlformats.org/drawingml/2006/picture">
                      <pic:pic>
                        <pic:nvPicPr>
                          <pic:cNvPr descr="Figs/Experimental_design.png" id="28" name="Picture"/>
                          <pic:cNvPicPr>
                            <a:picLocks noChangeArrowheads="1" noChangeAspect="1"/>
                          </pic:cNvPicPr>
                        </pic:nvPicPr>
                        <pic:blipFill>
                          <a:blip r:embed="rId26"/>
                          <a:stretch>
                            <a:fillRect/>
                          </a:stretch>
                        </pic:blipFill>
                        <pic:spPr bwMode="auto">
                          <a:xfrm>
                            <a:off x="0" y="0"/>
                            <a:ext cx="2769521" cy="27237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29"/>
        </w:tc>
      </w:tr>
    </w:tbl>
    <w:bookmarkEnd w:id="30"/>
    <w:p>
      <w:pPr>
        <w:pStyle w:val="BodyText"/>
      </w:pPr>
      <w:r>
        <w:t xml:space="preserve">Two intertidal chambers from</w:t>
      </w:r>
      <w:r>
        <w:t xml:space="preserve"> </w:t>
      </w:r>
      <w:hyperlink r:id="rId31">
        <w:r>
          <w:rPr>
            <w:rStyle w:val="Hyperlink"/>
          </w:rPr>
          <w:t xml:space="preserve">ElectricBlue</w:t>
        </w:r>
      </w:hyperlink>
      <w:r>
        <w:t xml:space="preserve"> </w:t>
      </w:r>
      <w:r>
        <w:t xml:space="preserve">were used to simulate tidal cycles and control water temperature during high tide and air temperature during low tide.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2</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2</w:t>
        </w:r>
      </w:hyperlink>
      <w:r>
        <w:t xml:space="preserve"> </w:t>
      </w:r>
      <w:r>
        <w:t xml:space="preserve">right).</w:t>
      </w:r>
    </w:p>
    <w:bookmarkStart w:id="36" w:name="cell-fig-Profile"/>
    <w:tbl>
      <w:tblPr>
        <w:tblStyle w:val="Table"/>
        <w:tblW w:type="pct" w:w="5000"/>
        <w:tblLayout w:type="fixed"/>
        <w:tblLook w:firstRow="0" w:lastRow="0" w:firstColumn="0" w:lastColumn="0" w:noHBand="0" w:noVBand="0" w:val="0000"/>
      </w:tblPr>
      <w:tblGrid>
        <w:gridCol w:w="7920"/>
      </w:tblGrid>
      <w:tr>
        <w:tc>
          <w:tcPr/>
          <w:bookmarkStart w:id="35" w:name="fig-Profile"/>
          <w:p>
            <w:pPr>
              <w:pStyle w:val="Compact"/>
              <w:jc w:val="center"/>
            </w:pPr>
            <w:r>
              <w:drawing>
                <wp:inline>
                  <wp:extent cx="5334000" cy="2439516"/>
                  <wp:effectExtent b="0" l="0" r="0" t="0"/>
                  <wp:docPr descr="" title="" id="33" name="Picture"/>
                  <a:graphic>
                    <a:graphicData uri="http://schemas.openxmlformats.org/drawingml/2006/picture">
                      <pic:pic>
                        <pic:nvPicPr>
                          <pic:cNvPr descr="Figs/Chamber_Profils.png" id="34" name="Picture"/>
                          <pic:cNvPicPr>
                            <a:picLocks noChangeArrowheads="1" noChangeAspect="1"/>
                          </pic:cNvPicPr>
                        </pic:nvPicPr>
                        <pic:blipFill>
                          <a:blip r:embed="rId32"/>
                          <a:stretch>
                            <a:fillRect/>
                          </a:stretch>
                        </pic:blipFill>
                        <pic:spPr bwMode="auto">
                          <a:xfrm>
                            <a:off x="0" y="0"/>
                            <a:ext cx="5334000" cy="24395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35"/>
        </w:tc>
      </w:tr>
    </w:tbl>
    <w:bookmarkEnd w:id="36"/>
    <w:bookmarkEnd w:id="37"/>
    <w:bookmarkStart w:id="47" w:name="measurement-and-sampling"/>
    <w:p>
      <w:pPr>
        <w:pStyle w:val="Heading3"/>
      </w:pPr>
      <w:r>
        <w:t xml:space="preserve">2.2.3 Measurement and sampling</w:t>
      </w:r>
    </w:p>
    <w:bookmarkStart w:id="45" w:name="radiometric-measurement"/>
    <w:p>
      <w:pPr>
        <w:pStyle w:val="Heading4"/>
      </w:pPr>
      <w:r>
        <w:t xml:space="preserve">2.2.3.1 Radiometric measurement</w:t>
      </w:r>
    </w:p>
    <w:bookmarkStart w:id="42" w:name="hyperspectral-measurement"/>
    <w:p>
      <w:pPr>
        <w:pStyle w:val="Heading5"/>
      </w:pPr>
      <w:r>
        <w:t xml:space="preserve">2.2.3.1.1 Hyperspectral measurement</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38">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39"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39"/>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40"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41"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41"/>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bookmarkEnd w:id="42"/>
    <w:bookmarkStart w:id="44" w:name="multispectral-imagery-measurement"/>
    <w:p>
      <w:pPr>
        <w:pStyle w:val="Heading5"/>
      </w:pPr>
      <w:r>
        <w:t xml:space="preserve">2.2.3.1.2 Multispectral imagery measurement</w:t>
      </w:r>
    </w:p>
    <w:p>
      <w:pPr>
        <w:pStyle w:val="FirstParagraph"/>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43">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44"/>
    <w:bookmarkEnd w:id="45"/>
    <w:bookmarkStart w:id="46" w:name="leaves-sampling-and-hplc-measurement"/>
    <w:p>
      <w:pPr>
        <w:pStyle w:val="Heading4"/>
      </w:pPr>
      <w:r>
        <w:t xml:space="preserve">2.2.3.2 Leaves sampling and HPLC measurement</w:t>
      </w:r>
    </w:p>
    <w:p>
      <w:pPr>
        <w:pStyle w:val="FirstParagraph"/>
      </w:pPr>
      <w:r>
        <w:t xml:space="preserve">At the beginning and the end of each diurn low tide (09:00 am and 03:00 pm) leaves samples have been took in both the test and the control. leaves sampled have been stored under -80°C waiting for analysis.</w:t>
      </w:r>
      <w:r>
        <w:t xml:space="preserve"> </w:t>
      </w:r>
      <w:r>
        <w:t xml:space="preserve">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46"/>
    <w:bookmarkEnd w:id="47"/>
    <w:bookmarkEnd w:id="48"/>
    <w:bookmarkEnd w:id="49"/>
    <w:bookmarkStart w:id="79" w:name="bibliography"/>
    <w:p>
      <w:pPr>
        <w:pStyle w:val="Heading1"/>
      </w:pPr>
      <w:r>
        <w:t xml:space="preserve">3. Bibliography</w:t>
      </w:r>
    </w:p>
    <w:bookmarkStart w:id="78" w:name="refs"/>
    <w:bookmarkStart w:id="50"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50"/>
    <w:bookmarkStart w:id="51"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51"/>
    <w:bookmarkStart w:id="52" w:name="ref-deguette2022physiological"/>
    <w:p>
      <w:pPr>
        <w:pStyle w:val="Bibliography"/>
      </w:pPr>
      <w:r>
        <w:t xml:space="preserve">Deguette, A., Barrote, I., Silva, J., 2022. Physiological and morphological effects of a marine heatwave on the seagrass cymodocea nodosa. Scientific Reports 12, 7950.</w:t>
      </w:r>
    </w:p>
    <w:bookmarkEnd w:id="52"/>
    <w:bookmarkStart w:id="53" w:name="ref-gardner2018global"/>
    <w:p>
      <w:pPr>
        <w:pStyle w:val="Bibliography"/>
      </w:pPr>
      <w:r>
        <w:t xml:space="preserve">Gardner, R.C., Finlayson, C., 2018. Global wetland outlook: State of the world’s wetlands and their services to people, in: Ramsar Convention Secretariat. pp. 2020–5.</w:t>
      </w:r>
    </w:p>
    <w:bookmarkEnd w:id="53"/>
    <w:bookmarkStart w:id="5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54"/>
    <w:bookmarkStart w:id="55"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55"/>
    <w:bookmarkStart w:id="56"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56"/>
    <w:bookmarkStart w:id="57" w:name="ref-huete2012vegetation"/>
    <w:p>
      <w:pPr>
        <w:pStyle w:val="Bibliography"/>
      </w:pPr>
      <w:r>
        <w:t xml:space="preserve">Huete, A.R., 2012. Vegetation indices, remote sensing and forest monitoring. Geography Compass 6, 513–532.</w:t>
      </w:r>
    </w:p>
    <w:bookmarkEnd w:id="57"/>
    <w:bookmarkStart w:id="58"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58"/>
    <w:bookmarkStart w:id="59" w:name="ref-kloos2021agricultural"/>
    <w:p>
      <w:pPr>
        <w:pStyle w:val="Bibliography"/>
      </w:pPr>
      <w:r>
        <w:t xml:space="preserve">Kloos, S., Yuan, Y., Castelli, M., Menzel, A., 2021. Agricultural drought detection with MODIS based vegetation health indices in southeast germany. Remote Sensing 13, 3907.</w:t>
      </w:r>
    </w:p>
    <w:bookmarkEnd w:id="59"/>
    <w:bookmarkStart w:id="60"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60"/>
    <w:bookmarkStart w:id="6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61"/>
    <w:bookmarkStart w:id="62" w:name="ref-perkins2013measurement"/>
    <w:p>
      <w:pPr>
        <w:pStyle w:val="Bibliography"/>
      </w:pPr>
      <w:r>
        <w:t xml:space="preserve">Perkins, S.E., Alexander, L.V., 2013. On the measurement of heat waves. Journal of climate 26, 4500–4517.</w:t>
      </w:r>
    </w:p>
    <w:bookmarkEnd w:id="62"/>
    <w:bookmarkStart w:id="63" w:name="ref-ramesh2020seagrass"/>
    <w:p>
      <w:pPr>
        <w:pStyle w:val="Bibliography"/>
      </w:pPr>
      <w:r>
        <w:t xml:space="preserve">Ramesh, C., Mohanraju, R., 2020. Seagrass ecosystems of andaman and nicobar islands: Status and future perspective. Environmental &amp; Earth Sciences Research Journal 7.</w:t>
      </w:r>
    </w:p>
    <w:bookmarkEnd w:id="63"/>
    <w:bookmarkStart w:id="64" w:name="ref-rouse1974monitoring"/>
    <w:p>
      <w:pPr>
        <w:pStyle w:val="Bibliography"/>
      </w:pPr>
      <w:r>
        <w:t xml:space="preserve">Rouse, J.W., Haas, R.H., Schell, J.A., Deering, D.W., others, 1974. Monitoring vegetation systems in the great plains with ERTS. NASA Spec. Publ 351, 309.</w:t>
      </w:r>
    </w:p>
    <w:bookmarkEnd w:id="64"/>
    <w:bookmarkStart w:id="65"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65"/>
    <w:bookmarkStart w:id="67"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66">
        <w:r>
          <w:rPr>
            <w:rStyle w:val="Hyperlink"/>
          </w:rPr>
          <w:t xml:space="preserve">https://doi.org/10.21105/joss.00821</w:t>
        </w:r>
      </w:hyperlink>
    </w:p>
    <w:bookmarkEnd w:id="67"/>
    <w:bookmarkStart w:id="68"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68"/>
    <w:bookmarkStart w:id="69"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69"/>
    <w:bookmarkStart w:id="70"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70"/>
    <w:bookmarkStart w:id="71"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71"/>
    <w:bookmarkStart w:id="72"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72"/>
    <w:bookmarkStart w:id="73" w:name="ref-unsworth2022planetary"/>
    <w:p>
      <w:pPr>
        <w:pStyle w:val="Bibliography"/>
      </w:pPr>
      <w:r>
        <w:t xml:space="preserve">Unsworth, R.K., Cullen-Unsworth, L.C., Jones, B.L., Lilley, R.J., 2022. The planetary role of seagrass conservation. Science 377, 609–613.</w:t>
      </w:r>
    </w:p>
    <w:bookmarkEnd w:id="73"/>
    <w:bookmarkStart w:id="74"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74"/>
    <w:bookmarkStart w:id="75"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75"/>
    <w:bookmarkStart w:id="76"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76"/>
    <w:bookmarkStart w:id="7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77"/>
    <w:bookmarkEnd w:id="78"/>
    <w:bookmarkEnd w:id="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hyperlink" Id="rId66" Target="https://doi.org/10.21105/joss.00821" TargetMode="External" /><Relationship Type="http://schemas.openxmlformats.org/officeDocument/2006/relationships/hyperlink" Id="rId31" Target="https://electricblue.eu/intertidal-chamber" TargetMode="External" /><Relationship Type="http://schemas.openxmlformats.org/officeDocument/2006/relationships/hyperlink" Id="rId21" Target="https://github.com/SigOiry/HeatWave_Seagrasses/blob/main/MeteoFrance_Extraction.qmd" TargetMode="External" /><Relationship Type="http://schemas.openxmlformats.org/officeDocument/2006/relationships/hyperlink" Id="rId43" Target="https://sigoiry.github.io/DISCOV-MicaSense/" TargetMode="External" /><Relationship Type="http://schemas.openxmlformats.org/officeDocument/2006/relationships/hyperlink" Id="rId38"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66" Target="https://doi.org/10.21105/joss.00821" TargetMode="External" /><Relationship Type="http://schemas.openxmlformats.org/officeDocument/2006/relationships/hyperlink" Id="rId31" Target="https://electricblue.eu/intertidal-chamber" TargetMode="External" /><Relationship Type="http://schemas.openxmlformats.org/officeDocument/2006/relationships/hyperlink" Id="rId21" Target="https://github.com/SigOiry/HeatWave_Seagrasses/blob/main/MeteoFrance_Extraction.qmd" TargetMode="External" /><Relationship Type="http://schemas.openxmlformats.org/officeDocument/2006/relationships/hyperlink" Id="rId43" Target="https://sigoiry.github.io/DISCOV-MicaSense/" TargetMode="External" /><Relationship Type="http://schemas.openxmlformats.org/officeDocument/2006/relationships/hyperlink" Id="rId38"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Pierre Gernez; Laurent Barillé</dc:creator>
  <cp:keywords>Remote Sensing, Pigment Composition, Seagrass, Coastal Ecosystems, Heatwaves</cp:keywords>
  <dcterms:created xsi:type="dcterms:W3CDTF">2024-10-16T14:01:45Z</dcterms:created>
  <dcterms:modified xsi:type="dcterms:W3CDTF">2024-10-16T14:01:45Z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